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DDCD" w14:textId="31230D3D" w:rsidR="00B643CD" w:rsidRPr="00B643CD" w:rsidRDefault="00B643CD" w:rsidP="00B643CD">
      <w:pPr>
        <w:jc w:val="center"/>
        <w:rPr>
          <w:rStyle w:val="a3"/>
          <w:rFonts w:ascii="Tahoma" w:hAnsi="Tahoma" w:cs="Tahoma"/>
          <w:color w:val="565656"/>
          <w:sz w:val="32"/>
          <w:szCs w:val="32"/>
          <w:rtl/>
        </w:rPr>
      </w:pPr>
      <w:r w:rsidRPr="00B643CD">
        <w:rPr>
          <w:rStyle w:val="a3"/>
          <w:rFonts w:ascii="Tahoma" w:hAnsi="Tahoma" w:cs="Tahoma" w:hint="cs"/>
          <w:color w:val="565656"/>
          <w:sz w:val="32"/>
          <w:szCs w:val="32"/>
          <w:rtl/>
        </w:rPr>
        <w:t>البيانات الضريبي</w:t>
      </w:r>
      <w:r w:rsidRPr="00B643CD">
        <w:rPr>
          <w:rStyle w:val="a3"/>
          <w:rFonts w:ascii="Tahoma" w:hAnsi="Tahoma" w:cs="Tahoma" w:hint="eastAsia"/>
          <w:color w:val="565656"/>
          <w:sz w:val="32"/>
          <w:szCs w:val="32"/>
          <w:rtl/>
        </w:rPr>
        <w:t>ة</w:t>
      </w:r>
    </w:p>
    <w:p w14:paraId="2C59A656" w14:textId="77777777" w:rsidR="00B643CD" w:rsidRDefault="00B643CD">
      <w:pPr>
        <w:rPr>
          <w:rStyle w:val="a3"/>
          <w:rFonts w:ascii="Tahoma" w:hAnsi="Tahoma" w:cs="Tahoma"/>
          <w:color w:val="565656"/>
          <w:sz w:val="20"/>
          <w:szCs w:val="20"/>
          <w:rtl/>
        </w:rPr>
      </w:pPr>
    </w:p>
    <w:p w14:paraId="1E79D7BF" w14:textId="5E52DF9E" w:rsidR="00EB2DC2" w:rsidRDefault="00B643CD">
      <w:pPr>
        <w:rPr>
          <w:rFonts w:hint="cs"/>
          <w:lang w:bidi="ar-SY"/>
        </w:rPr>
      </w:pP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عزيزي المكلف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سعياً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من مديرية خدمات المكلفين على نشر المعرفة والوعي الضريبي لكافة القوانين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والتشريعات، يسرنا أن نضع بين يديك النشرة رقم 2 الخاصة بمواعيد تقديم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البيانات الضريبية والسداد والغرامات والعقوبات التي فرضتها القوانين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أولاً: ضريبة الأرباح الحقيقية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لغاية</w:t>
      </w:r>
      <w:r>
        <w:rPr>
          <w:rFonts w:ascii="Tahoma" w:hAnsi="Tahoma" w:cs="Tahoma"/>
          <w:color w:val="565656"/>
          <w:sz w:val="20"/>
          <w:szCs w:val="20"/>
        </w:rPr>
        <w:t> 31 </w:t>
      </w:r>
      <w:r>
        <w:rPr>
          <w:rFonts w:ascii="Tahoma" w:hAnsi="Tahoma" w:cs="Tahoma"/>
          <w:color w:val="565656"/>
          <w:sz w:val="20"/>
          <w:szCs w:val="20"/>
          <w:rtl/>
        </w:rPr>
        <w:t>أيار من كل سنة بالنسبة للشركات المساهمة وذات المسؤولية المحدودة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والمؤسسات والشركات والمنشآت العامة ومكلفي قسم كبار المكلفين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لغاية 31 آذار من كل سنة لسائر المكلفين الآخرين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مواعيد السداد: خلال 30 يوم تلي تاريخ انتهاء مهلة تقديم البيان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ثانياً: بيان التصفية أو التنازل أو الدمج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ويترتب على المكلفين أن يقدموا بياناً بذلك إلى الدوائر المالية خلال 30 يوماً بدءاً من تاريخ التصفية أو التنازل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مواعيد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السداد: تطرح على المصفين أو المتنازلين أو المندمجين فوراً الضريبة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المتوجبة بالنسبة إلى الأرباح التي لم تكلف بالضريبة بعد وتحصل التكاليف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المطروحة فوراً وبأكملها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ثالثاً: ضريبة الدخل المقطوع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  <w:t>1- </w:t>
      </w:r>
      <w:r>
        <w:rPr>
          <w:rFonts w:ascii="Tahoma" w:hAnsi="Tahoma" w:cs="Tahoma"/>
          <w:color w:val="565656"/>
          <w:sz w:val="20"/>
          <w:szCs w:val="20"/>
          <w:rtl/>
        </w:rPr>
        <w:t>يترتب على المكلفين وخلال ثلاثين يوماً تلي تاريخ الحالات التالية</w:t>
      </w:r>
      <w:r>
        <w:rPr>
          <w:rFonts w:ascii="Tahoma" w:hAnsi="Tahoma" w:cs="Tahoma"/>
          <w:color w:val="565656"/>
          <w:sz w:val="20"/>
          <w:szCs w:val="20"/>
        </w:rPr>
        <w:t>: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أ- البدء بممارسة حرفة أو مهنة خاضعة للضريبة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ب- تبديل الحرفة أو المهنة أو تبديل مكان ممارستها أو توقيف أو إضافة إحدى الفعاليات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ج- انتقال المنشأة الكلي أو الجزئي للغير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د- دخول شركاء جدد في المنشأة أو انسحاب شركاء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هـ - التوقف عن ممارسة الحرفة أو المهنة بسبب قاهر خارج عن إرادة المكلف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  <w:t>2- </w:t>
      </w:r>
      <w:r>
        <w:rPr>
          <w:rFonts w:ascii="Tahoma" w:hAnsi="Tahoma" w:cs="Tahoma"/>
          <w:color w:val="565656"/>
          <w:sz w:val="20"/>
          <w:szCs w:val="20"/>
          <w:rtl/>
        </w:rPr>
        <w:t>بعد مضي ستة أشهر على التوقف عن ممارسة الحرفة أو المهنة من قبل المكلف</w:t>
      </w:r>
      <w:r>
        <w:rPr>
          <w:rFonts w:ascii="Tahoma" w:hAnsi="Tahoma" w:cs="Tahoma"/>
          <w:color w:val="565656"/>
          <w:sz w:val="20"/>
          <w:szCs w:val="20"/>
        </w:rPr>
        <w:t>. </w:t>
      </w:r>
      <w:r>
        <w:rPr>
          <w:rFonts w:ascii="Tahoma" w:hAnsi="Tahoma" w:cs="Tahoma"/>
          <w:color w:val="565656"/>
          <w:sz w:val="20"/>
          <w:szCs w:val="20"/>
          <w:rtl/>
        </w:rPr>
        <w:t>تعتبر الضريبة مترتبة من أول الشهر الذي يلي حدوث الواقعة. وتستحق بعد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انقضاء شهرين على الشهر الذي تم فيه تبليغه قرار لجنة التصنيف البدائية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رابعاً: ضريبة الرواتب والأجور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الدورة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الأولى: عن الفترة الممتدة من 1/1 ولغاية 30/6 وقد حددت مدة تقديم البيان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وتسديد الضريبة عن هذه الدورة خلال مدة أقصاها 15/7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الدورة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الثانية: عن الفترة الممتدة بين 1/7 ولغاية 31/12 وقد حددت مدة تقديم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البيان وتسديد الضريبة عن هذه الدورة خلال مدة أقصاها 15/1 من السنة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التالية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خامساً: المنشآت السياحية</w:t>
      </w:r>
      <w:r>
        <w:rPr>
          <w:rStyle w:val="a3"/>
          <w:rFonts w:ascii="Tahoma" w:hAnsi="Tahoma" w:cs="Tahoma"/>
          <w:color w:val="565656"/>
          <w:sz w:val="20"/>
          <w:szCs w:val="20"/>
        </w:rPr>
        <w:t>: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يتوجب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على مستثمري المنشآت تقديم بيان شهري إلى الدوائر المالية التي تقع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منشأتهم ضمن نطاق عملها خلال عشرة الأيام الأولى من الشهر التالي يبين فيه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 xml:space="preserve">رقم العمل الإجمالي لفعالية منشاتهم أما </w:t>
      </w:r>
      <w:r>
        <w:rPr>
          <w:rFonts w:ascii="Tahoma" w:hAnsi="Tahoma" w:cs="Tahoma"/>
          <w:color w:val="565656"/>
          <w:sz w:val="20"/>
          <w:szCs w:val="20"/>
          <w:rtl/>
        </w:rPr>
        <w:lastRenderedPageBreak/>
        <w:t>مواعيد السداد: تسدد الضريبة فور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تقديم البيان</w:t>
      </w:r>
      <w:r>
        <w:rPr>
          <w:rFonts w:ascii="Tahoma" w:hAnsi="Tahoma" w:cs="Tahoma"/>
          <w:color w:val="565656"/>
          <w:sz w:val="20"/>
          <w:szCs w:val="20"/>
        </w:rPr>
        <w:t> 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سادساً: المكلفين الخاضعين للضريبة على البيوع العقارية</w:t>
      </w:r>
      <w:r>
        <w:rPr>
          <w:rStyle w:val="a3"/>
          <w:rFonts w:ascii="Tahoma" w:hAnsi="Tahoma" w:cs="Tahoma"/>
          <w:color w:val="565656"/>
          <w:sz w:val="20"/>
          <w:szCs w:val="20"/>
        </w:rPr>
        <w:t>: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يلتزم الأشخاص الخاضعون لأحكام قانون الضريبة على البيوع العقارية بالتصريح عن مبيعاتهم خلال مدة ثلاثين يوماً من تاريخ البيع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مواعيد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السداد: يجب على الأشخاص الخاضعين لأحكام قانون الضريبة على البيوع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العقارية تسديد الضريبة المترتبة عليهم خلال مدة أقصاها ثلاثون يوماً من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تاريخ تقديم التصريح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سابعاً: تكليف المتعهدين والمقاولين السوريين</w:t>
      </w:r>
      <w:r>
        <w:rPr>
          <w:rStyle w:val="a3"/>
          <w:rFonts w:ascii="Tahoma" w:hAnsi="Tahoma" w:cs="Tahoma"/>
          <w:color w:val="565656"/>
          <w:sz w:val="20"/>
          <w:szCs w:val="20"/>
        </w:rPr>
        <w:t>: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يجب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على المؤسسات والإدارات والشركات والأفراد والجهات العامة والخاصة تقديم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بيان للدوائر المالية يتضمن: اسم الشركة الأجنبية ، رقم وتاريخ العقد،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المبلغ المسدد، تاريخ التسديد، الجهة المتعاقدة مع صورة عن العقد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مواعيد السداد: يجب اقتطاع الضريبة وتوريدها إلى الخزينة خلال 15 الأولى من الشهر الذي يلي تأدية المبالغ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Style w:val="a3"/>
          <w:rFonts w:ascii="Tahoma" w:hAnsi="Tahoma" w:cs="Tahoma" w:hint="cs"/>
          <w:color w:val="565656"/>
          <w:sz w:val="20"/>
          <w:szCs w:val="20"/>
          <w:rtl/>
        </w:rPr>
        <w:t>ثامناً: ضريبة ريع رؤوس الأموال المتداولة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يتوجب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على الشركات والمؤسسات ذات الشخصية الاعتبارية أن تسوفي الضريبة المفروضة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على أسناد الدين والقروض وغيرها والمحدد دخلها مقدماً وتؤديها إلى الخزينة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على أربعة أقساط متساوية خلال الأيام الأولى من شهر شباط وأيار وآب وتشرين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الثاني</w:t>
      </w:r>
      <w:r>
        <w:rPr>
          <w:rFonts w:ascii="Tahoma" w:hAnsi="Tahoma" w:cs="Tahoma"/>
          <w:color w:val="565656"/>
          <w:sz w:val="20"/>
          <w:szCs w:val="20"/>
        </w:rPr>
        <w:t>.</w:t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</w:rPr>
        <w:br/>
      </w:r>
      <w:r>
        <w:rPr>
          <w:rFonts w:ascii="Tahoma" w:hAnsi="Tahoma" w:cs="Tahoma"/>
          <w:color w:val="565656"/>
          <w:sz w:val="20"/>
          <w:szCs w:val="20"/>
          <w:rtl/>
        </w:rPr>
        <w:t>كما وتستوفى الضريبة عن جوائز السحب وجائزة التسديد دفعة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واحدة بتاريخ تأدية أول قسط يستحق بعد اليوم المحدد لتأدية بدل السحب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والجوائز ويتوجب تقديم ضبط السحب وجدولاً يبين (عدد السندات ومعدل إصدارها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والمبلغ الذي يتوجب دفع الضريبة عنه، كما يترتب على كل من يتعاطى تجارة من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شأنها جمع وتحصيل ودفع وشراء قسائم أو أوراق مالية أن يقدم تصريح بذلك إلى</w:t>
      </w:r>
      <w:r>
        <w:rPr>
          <w:rFonts w:ascii="Tahoma" w:hAnsi="Tahoma" w:cs="Tahoma"/>
          <w:color w:val="565656"/>
          <w:sz w:val="20"/>
          <w:szCs w:val="20"/>
        </w:rPr>
        <w:t> </w:t>
      </w:r>
      <w:r>
        <w:rPr>
          <w:rFonts w:ascii="Tahoma" w:hAnsi="Tahoma" w:cs="Tahoma"/>
          <w:color w:val="565656"/>
          <w:sz w:val="20"/>
          <w:szCs w:val="20"/>
          <w:rtl/>
        </w:rPr>
        <w:t>الدوائر المالية</w:t>
      </w:r>
      <w:r>
        <w:rPr>
          <w:rFonts w:ascii="Tahoma" w:hAnsi="Tahoma" w:cs="Tahoma"/>
          <w:color w:val="565656"/>
          <w:sz w:val="20"/>
          <w:szCs w:val="20"/>
        </w:rPr>
        <w:t> </w:t>
      </w:r>
    </w:p>
    <w:sectPr w:rsidR="00EB2DC2" w:rsidSect="00EB2D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CD"/>
    <w:rsid w:val="00B643CD"/>
    <w:rsid w:val="00E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F65C7"/>
  <w15:chartTrackingRefBased/>
  <w15:docId w15:val="{1A577C09-D6D0-4B11-8203-16D3C81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Farhat</dc:creator>
  <cp:keywords/>
  <dc:description/>
  <cp:lastModifiedBy>Farah Farhat</cp:lastModifiedBy>
  <cp:revision>1</cp:revision>
  <dcterms:created xsi:type="dcterms:W3CDTF">2026-03-28T07:21:00Z</dcterms:created>
  <dcterms:modified xsi:type="dcterms:W3CDTF">2026-03-28T07:22:00Z</dcterms:modified>
</cp:coreProperties>
</file>